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A106" w14:textId="77777777" w:rsidR="00DE4D76" w:rsidRDefault="00000000">
      <w:pPr>
        <w:pStyle w:val="Ttulo1"/>
        <w:jc w:val="both"/>
        <w:divId w:val="863831613"/>
        <w:rPr>
          <w:rFonts w:eastAsia="Times New Roman"/>
        </w:rPr>
      </w:pPr>
      <w:bookmarkStart w:id="0" w:name="_Toc499886339"/>
      <w:r>
        <w:rPr>
          <w:rFonts w:eastAsia="Times New Roman"/>
          <w:lang w:val="es-ES_tradnl"/>
        </w:rPr>
        <w:t>CÓDIGOS DE CONCEPTO (R.I. – O.C.) COM."A" 6797 Y COMPLEMENTARIAS</w:t>
      </w:r>
      <w:bookmarkEnd w:id="0"/>
      <w:r>
        <w:rPr>
          <w:rFonts w:eastAsia="Times New Roman"/>
        </w:rPr>
        <w:t> - LISTADO</w:t>
      </w:r>
    </w:p>
    <w:p w14:paraId="77735AD6" w14:textId="77777777" w:rsidR="00DE4D76" w:rsidRDefault="00000000">
      <w:pPr>
        <w:pStyle w:val="TextoPrincipal"/>
        <w:jc w:val="both"/>
      </w:pPr>
      <w:r>
        <w:t> </w:t>
      </w:r>
    </w:p>
    <w:p w14:paraId="1F70C705" w14:textId="77777777" w:rsidR="00DE4D76" w:rsidRDefault="00000000">
      <w:pPr>
        <w:pStyle w:val="TDC1"/>
        <w:spacing w:after="60" w:line="240" w:lineRule="auto"/>
        <w:jc w:val="both"/>
      </w:pPr>
      <w:hyperlink w:anchor="_Toc499886340" w:history="1"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>CONSIDERACIONES ESPECIALES:</w:t>
        </w:r>
      </w:hyperlink>
    </w:p>
    <w:p w14:paraId="448FC749" w14:textId="77777777" w:rsidR="00DE4D76" w:rsidRDefault="00000000">
      <w:pPr>
        <w:pStyle w:val="TDC1"/>
        <w:spacing w:after="60" w:line="240" w:lineRule="auto"/>
        <w:jc w:val="both"/>
      </w:pPr>
      <w:hyperlink w:anchor="_Toc499886341" w:history="1"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>1. BIENES</w:t>
        </w:r>
      </w:hyperlink>
    </w:p>
    <w:p w14:paraId="5ADD0566" w14:textId="77777777" w:rsidR="00DE4D76" w:rsidRDefault="00000000">
      <w:pPr>
        <w:pStyle w:val="TDC1"/>
        <w:spacing w:after="60" w:line="240" w:lineRule="auto"/>
        <w:jc w:val="both"/>
      </w:pPr>
      <w:hyperlink w:anchor="_Toc499886342" w:history="1"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>2. SERVICIOS</w:t>
        </w:r>
      </w:hyperlink>
    </w:p>
    <w:p w14:paraId="6C24F7A3" w14:textId="77777777" w:rsidR="00DE4D76" w:rsidRDefault="00000000">
      <w:pPr>
        <w:pStyle w:val="TDC1"/>
        <w:spacing w:after="60" w:line="240" w:lineRule="auto"/>
        <w:jc w:val="both"/>
      </w:pPr>
      <w:hyperlink w:anchor="_Toc499886343" w:history="1"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>3. INGRESO PRIMARIO Y SECUNDARIO</w:t>
        </w:r>
      </w:hyperlink>
    </w:p>
    <w:p w14:paraId="613D2365" w14:textId="77777777" w:rsidR="00DE4D76" w:rsidRDefault="00000000">
      <w:pPr>
        <w:pStyle w:val="TDC1"/>
        <w:spacing w:after="60" w:line="240" w:lineRule="auto"/>
        <w:jc w:val="both"/>
      </w:pPr>
      <w:hyperlink w:anchor="_Toc499886344" w:history="1"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>4. CAPITAL</w:t>
        </w:r>
      </w:hyperlink>
    </w:p>
    <w:p w14:paraId="0183CB36" w14:textId="77777777" w:rsidR="00DE4D76" w:rsidRDefault="00000000">
      <w:pPr>
        <w:pStyle w:val="TDC1"/>
        <w:spacing w:after="60" w:line="240" w:lineRule="auto"/>
        <w:jc w:val="both"/>
      </w:pPr>
      <w:hyperlink w:anchor="_Toc499886345" w:history="1"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 xml:space="preserve">5. FINANCIERA - TRANSACCIONES DE ACTIVOS EXTERNOS Y OTROS ACTIVOS EN </w:t>
        </w:r>
        <w:proofErr w:type="gramStart"/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>MONEDA</w:t>
        </w:r>
        <w:proofErr w:type="gramEnd"/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 xml:space="preserve"> EXTRANJERA</w:t>
        </w:r>
      </w:hyperlink>
    </w:p>
    <w:p w14:paraId="38179136" w14:textId="77777777" w:rsidR="00DE4D76" w:rsidRDefault="00000000">
      <w:pPr>
        <w:pStyle w:val="TDC1"/>
        <w:spacing w:after="60" w:line="240" w:lineRule="auto"/>
        <w:jc w:val="both"/>
      </w:pPr>
      <w:hyperlink w:anchor="_Toc499886346" w:history="1"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 xml:space="preserve">6. FINANCIERA - TRANSACCIONES DE PASIVOS EXTERNOS Y OTROS PASIVOS EN </w:t>
        </w:r>
        <w:proofErr w:type="gramStart"/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>MONEDA</w:t>
        </w:r>
        <w:proofErr w:type="gramEnd"/>
        <w:r>
          <w:rPr>
            <w:rStyle w:val="Hipervnculo"/>
            <w:rFonts w:ascii="Verdana" w:hAnsi="Verdana"/>
            <w:b/>
            <w:bCs/>
            <w:color w:val="000080"/>
            <w:sz w:val="20"/>
            <w:szCs w:val="20"/>
            <w:u w:val="none"/>
            <w:lang w:val="es-ES_tradnl"/>
          </w:rPr>
          <w:t xml:space="preserve"> EXTRANJERA</w:t>
        </w:r>
      </w:hyperlink>
    </w:p>
    <w:p w14:paraId="7B2AA01A" w14:textId="77777777" w:rsidR="00DE4D76" w:rsidRDefault="00000000">
      <w:pPr>
        <w:pStyle w:val="TDC1"/>
        <w:spacing w:after="60" w:line="240" w:lineRule="auto"/>
        <w:jc w:val="both"/>
      </w:pPr>
      <w:r>
        <w:t> </w:t>
      </w:r>
    </w:p>
    <w:p w14:paraId="2D4D08CC" w14:textId="77777777" w:rsidR="00DE4D76" w:rsidRDefault="00000000">
      <w:pPr>
        <w:pStyle w:val="TextoPrincipal"/>
        <w:jc w:val="both"/>
      </w:pPr>
      <w:r>
        <w:t> </w:t>
      </w:r>
    </w:p>
    <w:p w14:paraId="7F573D9E" w14:textId="77777777" w:rsidR="00DE4D76" w:rsidRDefault="00000000">
      <w:pPr>
        <w:pStyle w:val="Ttulo2"/>
        <w:jc w:val="both"/>
        <w:divId w:val="1477603752"/>
        <w:rPr>
          <w:rFonts w:eastAsia="Times New Roman"/>
        </w:rPr>
      </w:pPr>
      <w:bookmarkStart w:id="1" w:name="_Toc499886340"/>
      <w:r>
        <w:rPr>
          <w:rFonts w:eastAsia="Times New Roman"/>
          <w:lang w:val="es-ES_tradnl"/>
        </w:rPr>
        <w:t>CONSIDERACIONES ESPECIALES:</w:t>
      </w:r>
      <w:bookmarkEnd w:id="1"/>
    </w:p>
    <w:p w14:paraId="50E3C97D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Los Códigos de Concepto abajo detallados se aplican indistintamente según se trate de operaciones de “Venta de Cambio” o “Compras de Cambio”, tanto en billetes como en divisas.</w:t>
      </w:r>
    </w:p>
    <w:p w14:paraId="4DB59A40" w14:textId="77777777" w:rsidR="00DE4D76" w:rsidRDefault="00000000">
      <w:pPr>
        <w:pStyle w:val="TextoPrincipal"/>
        <w:jc w:val="both"/>
      </w:pPr>
      <w:r>
        <w:t> </w:t>
      </w:r>
    </w:p>
    <w:p w14:paraId="4AEB5AEC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Asimismo, se utilizará la misma nómina de Códigos de Concepto para operaciones de CANJE o ARBITRAJE.</w:t>
      </w:r>
    </w:p>
    <w:p w14:paraId="420BE920" w14:textId="77777777" w:rsidR="00DE4D76" w:rsidRDefault="00000000">
      <w:pPr>
        <w:pStyle w:val="TextoPrincipal"/>
        <w:jc w:val="both"/>
      </w:pPr>
      <w:r>
        <w:t> </w:t>
      </w:r>
    </w:p>
    <w:p w14:paraId="5DFB3ED9" w14:textId="77777777" w:rsidR="00DE4D76" w:rsidRDefault="00000000">
      <w:pPr>
        <w:pStyle w:val="Ttulo2"/>
        <w:jc w:val="both"/>
        <w:divId w:val="1808281998"/>
        <w:rPr>
          <w:rFonts w:eastAsia="Times New Roman"/>
        </w:rPr>
      </w:pPr>
      <w:bookmarkStart w:id="2" w:name="_Toc499886341"/>
      <w:r>
        <w:rPr>
          <w:rFonts w:eastAsia="Times New Roman"/>
          <w:lang w:val="es-ES_tradnl"/>
        </w:rPr>
        <w:t>1. BIENES</w:t>
      </w:r>
      <w:bookmarkEnd w:id="2"/>
    </w:p>
    <w:p w14:paraId="0AA6FCF4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 </w:t>
      </w:r>
    </w:p>
    <w:p w14:paraId="4342C241" w14:textId="77777777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B01 Cobros de exportaciones de bienes</w:t>
      </w:r>
    </w:p>
    <w:p w14:paraId="7323187E" w14:textId="77777777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B02 Cobros anticipados de exportaciones de bienes</w:t>
      </w:r>
    </w:p>
    <w:p w14:paraId="246F94A8" w14:textId="77777777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B03 Financiaciones del exterior por exportaciones de bienes</w:t>
      </w:r>
    </w:p>
    <w:p w14:paraId="67A6C6AC" w14:textId="77777777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B04 Financiación de bancos locales por exportaciones de bienes.</w:t>
      </w:r>
    </w:p>
    <w:p w14:paraId="0420A5EE" w14:textId="77777777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B05 Pagos anticipados de importaciones de bienes (excepto bienes de Capital) (Com. “A” 6826)</w:t>
      </w:r>
    </w:p>
    <w:p w14:paraId="738A4F15" w14:textId="5C925AE3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B06 Pagos diferidos de importaciones de bienes (</w:t>
      </w:r>
      <w:r w:rsidR="006858C5"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excepto bienes</w:t>
      </w: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 xml:space="preserve"> de capital) (Com. “A” 7538)</w:t>
      </w:r>
    </w:p>
    <w:p w14:paraId="1C08DE9A" w14:textId="77777777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B07 Pagos vista de importaciones de bienes (excepto bienes de capital e insumos para la producción local de bienes)</w:t>
      </w:r>
    </w:p>
    <w:p w14:paraId="1B508B18" w14:textId="77777777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B08 Pagos por otras compras de bienes al exterior</w:t>
      </w:r>
    </w:p>
    <w:p w14:paraId="7BF4E6B1" w14:textId="77777777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B09 Compraventa de bienes sin paso por el país y vendidos a terceros países</w:t>
      </w:r>
    </w:p>
    <w:p w14:paraId="7D42FF5F" w14:textId="4F51BCB5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B10 Pagos de deudas comerciales por importaciones de bienes sin registro de ingreso aduanero. (</w:t>
      </w:r>
      <w:r w:rsidR="006858C5"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Com.” A</w:t>
      </w: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” 6811) (excepto bienes de capital e insumos para la producción local de bienes)</w:t>
      </w:r>
    </w:p>
    <w:p w14:paraId="0E4BCF15" w14:textId="4E51FEF4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B11 Cancelación de garantías comerciales de entidades financieras de importaciones de bienes sin registro de ingreso aduanero. (</w:t>
      </w:r>
      <w:r w:rsidR="006858C5"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Com.” A</w:t>
      </w: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” 6811)</w:t>
      </w:r>
    </w:p>
    <w:p w14:paraId="0D541DF1" w14:textId="77777777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B12 Pagos anticipados de importaciones de bienes de capital (Com. “A” 6826)</w:t>
      </w:r>
    </w:p>
    <w:p w14:paraId="6F0D5AB3" w14:textId="660585C1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B13 Pagos con registro de ingreso aduanero pendiente por la importación de medicamentos críticos a ingresar por el beneficiario o bienes del Decreto N°333/20 (</w:t>
      </w:r>
      <w:r w:rsidR="006858C5"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Com.” A</w:t>
      </w: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” 7058)</w:t>
      </w:r>
    </w:p>
    <w:p w14:paraId="6E5D6F0C" w14:textId="2848139A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B14 Cancelación de garantías comerciales de entidades financieras por importaciones de bienes con registro de ingreso aduanero. (</w:t>
      </w:r>
      <w:r w:rsidR="006858C5"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Com.” A</w:t>
      </w: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” 7058)</w:t>
      </w:r>
    </w:p>
    <w:p w14:paraId="117A2077" w14:textId="77777777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B15 Pagos de deudas comerciales por la importación de bienes con agencias oficiales de crédito a la exportación o una entidad financiera del exterior o que cuente con garantía otorgada por las mismas (Com. “A” 7080)</w:t>
      </w:r>
    </w:p>
    <w:p w14:paraId="153C2783" w14:textId="77777777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B16 Pagos con registro de ingreso aduanero pendiente por la importación de productos o insumos relacionados con la provisión o elaboración local de medicamentos u otros bienes relacionados con la atención médica y/o sanitaria de la población (Com. “A” 7080)</w:t>
      </w:r>
    </w:p>
    <w:p w14:paraId="3FC47B7F" w14:textId="19DC89DE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B17 Pagos de deudas comerciales por la importación de medicamentos críticos de personas jurídicas que tengan a cargo su provisión a pacientes. (</w:t>
      </w:r>
      <w:r w:rsidR="006858C5"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Com.” A</w:t>
      </w: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” 7315)</w:t>
      </w:r>
    </w:p>
    <w:p w14:paraId="6FC285BC" w14:textId="45949B06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</w:t>
      </w:r>
      <w:r w:rsidR="006858C5"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18 Pagos</w:t>
      </w: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 xml:space="preserve"> vista de importaciones de insumos para la producción local de bienes</w:t>
      </w:r>
    </w:p>
    <w:p w14:paraId="14916BE5" w14:textId="74FF97A0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</w:t>
      </w:r>
      <w:r w:rsidR="006858C5"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19 Pagos</w:t>
      </w: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 xml:space="preserve"> de deudas comerciales por importaciones de insumos para la producción local de bienes sin registro de ingreso aduanero</w:t>
      </w:r>
    </w:p>
    <w:p w14:paraId="29E4E791" w14:textId="2C2BD082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</w:t>
      </w:r>
      <w:r w:rsidR="006858C5"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20 Pagos</w:t>
      </w: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 xml:space="preserve"> vista de importaciones de bienes de capital</w:t>
      </w:r>
    </w:p>
    <w:p w14:paraId="4D946211" w14:textId="74B3E4C6" w:rsidR="00DE4D76" w:rsidRDefault="00000000">
      <w:pPr>
        <w:pStyle w:val="vieta2"/>
        <w:tabs>
          <w:tab w:val="num" w:pos="-360"/>
          <w:tab w:val="left" w:pos="1176"/>
        </w:tabs>
        <w:spacing w:before="60" w:beforeAutospacing="0" w:after="60" w:afterAutospacing="0"/>
        <w:ind w:left="470" w:hanging="470"/>
        <w:jc w:val="both"/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</w:pP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B</w:t>
      </w:r>
      <w:r w:rsidR="006858C5"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>21 Pagos</w:t>
      </w:r>
      <w:r>
        <w:rPr>
          <w:rFonts w:ascii="Verdana" w:eastAsia="Times New Roman" w:hAnsi="Verdana"/>
          <w:color w:val="323232"/>
          <w:sz w:val="18"/>
          <w:szCs w:val="18"/>
          <w:lang w:val="es-ES_tradnl" w:eastAsia="es-ES"/>
        </w:rPr>
        <w:t xml:space="preserve"> de deudas comerciales por importaciones de bienes de capital sin registro de ingreso aduanero</w:t>
      </w:r>
    </w:p>
    <w:p w14:paraId="50830F73" w14:textId="5A6D5861" w:rsidR="00DE4D76" w:rsidRDefault="00000000">
      <w:pPr>
        <w:pStyle w:val="TextoPrincipal"/>
        <w:jc w:val="both"/>
        <w:rPr>
          <w:rFonts w:eastAsia="PMingLiU"/>
          <w:sz w:val="18"/>
          <w:szCs w:val="18"/>
          <w:lang w:val="es-ES_tradnl" w:eastAsia="es-ES"/>
        </w:rPr>
      </w:pPr>
      <w:r>
        <w:rPr>
          <w:rFonts w:eastAsia="PMingLiU"/>
          <w:sz w:val="18"/>
          <w:szCs w:val="18"/>
          <w:lang w:val="es-ES_tradnl" w:eastAsia="es-ES"/>
        </w:rPr>
        <w:t>B</w:t>
      </w:r>
      <w:r w:rsidR="006858C5">
        <w:rPr>
          <w:rFonts w:eastAsia="PMingLiU"/>
          <w:sz w:val="18"/>
          <w:szCs w:val="18"/>
          <w:lang w:val="es-ES_tradnl" w:eastAsia="es-ES"/>
        </w:rPr>
        <w:t>22 Pagos</w:t>
      </w:r>
      <w:r>
        <w:rPr>
          <w:rFonts w:eastAsia="PMingLiU"/>
          <w:sz w:val="18"/>
          <w:szCs w:val="18"/>
          <w:lang w:val="es-ES_tradnl" w:eastAsia="es-ES"/>
        </w:rPr>
        <w:t xml:space="preserve"> diferidos de importaciones de bienes de capital (Com. “A” 7538)</w:t>
      </w:r>
    </w:p>
    <w:p w14:paraId="6F2AE783" w14:textId="393CEF71" w:rsidR="009D3BFD" w:rsidRPr="00951792" w:rsidRDefault="009D3BFD" w:rsidP="00951792">
      <w:pPr>
        <w:tabs>
          <w:tab w:val="left" w:pos="899"/>
          <w:tab w:val="left" w:pos="1465"/>
        </w:tabs>
        <w:spacing w:after="0"/>
        <w:ind w:left="426" w:right="131" w:hanging="409"/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</w:pPr>
      <w:r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 xml:space="preserve">B23 Registro de financiación de importaciones de bienes elegible para aplicar cobros en divisas de exportaciones de bienes (Com. “A” 7770 y complementarias) </w:t>
      </w:r>
      <w:r w:rsidR="001C0EC5"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 xml:space="preserve">– vigencia desde 19.05.2023 </w:t>
      </w:r>
      <w:proofErr w:type="gramStart"/>
      <w:r w:rsidR="001C0EC5"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 xml:space="preserve">-  </w:t>
      </w:r>
      <w:r w:rsidR="00464BEF"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>(</w:t>
      </w:r>
      <w:proofErr w:type="gramEnd"/>
      <w:r w:rsidR="00464BEF"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>Com. “A” 7</w:t>
      </w:r>
      <w:r w:rsidR="006F0928"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>869</w:t>
      </w:r>
      <w:r w:rsidR="00464BEF"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>)</w:t>
      </w:r>
    </w:p>
    <w:p w14:paraId="19D5F423" w14:textId="03669632" w:rsidR="009D3BFD" w:rsidRPr="00951792" w:rsidRDefault="009D3BFD" w:rsidP="00951792">
      <w:pPr>
        <w:tabs>
          <w:tab w:val="left" w:pos="899"/>
          <w:tab w:val="left" w:pos="1465"/>
        </w:tabs>
        <w:spacing w:after="0"/>
        <w:ind w:left="426" w:right="131" w:hanging="426"/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</w:pPr>
      <w:r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 xml:space="preserve">B24 Registro de financiación de importaciones de bienes de capital computable en el marco del Decreto </w:t>
      </w:r>
      <w:proofErr w:type="spellStart"/>
      <w:r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>N°</w:t>
      </w:r>
      <w:proofErr w:type="spellEnd"/>
      <w:r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 xml:space="preserve"> 234/21</w:t>
      </w:r>
      <w:r w:rsidR="001C0EC5"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 xml:space="preserve">– vigencia desde 30.06.2023 </w:t>
      </w:r>
      <w:proofErr w:type="gramStart"/>
      <w:r w:rsidR="001C0EC5"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>-</w:t>
      </w:r>
      <w:r w:rsidR="006858C5"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 xml:space="preserve">  (</w:t>
      </w:r>
      <w:proofErr w:type="gramEnd"/>
      <w:r w:rsidR="006F0928"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>Com. “A” 7869)</w:t>
      </w:r>
      <w:r w:rsidR="001C0EC5"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 xml:space="preserve"> </w:t>
      </w:r>
    </w:p>
    <w:p w14:paraId="3837A558" w14:textId="3ABE629A" w:rsidR="009D3BFD" w:rsidRPr="00951792" w:rsidRDefault="009D3BFD" w:rsidP="00951792">
      <w:pPr>
        <w:tabs>
          <w:tab w:val="left" w:pos="899"/>
          <w:tab w:val="left" w:pos="1465"/>
        </w:tabs>
        <w:spacing w:line="237" w:lineRule="auto"/>
        <w:ind w:left="426" w:right="133" w:hanging="426"/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</w:pPr>
      <w:r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 xml:space="preserve">B25 Ingresos por cobros de exportaciones de bienes no liquidados (Decreto </w:t>
      </w:r>
      <w:proofErr w:type="spellStart"/>
      <w:r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>N°</w:t>
      </w:r>
      <w:proofErr w:type="spellEnd"/>
      <w:r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 xml:space="preserve"> 443/23 y complementarios) </w:t>
      </w:r>
      <w:r w:rsidR="001C0EC5"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 xml:space="preserve">– vigencia desde 05.09.2023 </w:t>
      </w:r>
      <w:proofErr w:type="gramStart"/>
      <w:r w:rsidR="001C0EC5"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 xml:space="preserve">-  </w:t>
      </w:r>
      <w:r w:rsidR="006F0928"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>(</w:t>
      </w:r>
      <w:proofErr w:type="gramEnd"/>
      <w:r w:rsidR="006F0928" w:rsidRPr="00951792">
        <w:rPr>
          <w:rFonts w:ascii="Verdana" w:eastAsia="PMingLiU" w:hAnsi="Verdana" w:cs="Times New Roman"/>
          <w:color w:val="323232"/>
          <w:sz w:val="18"/>
          <w:szCs w:val="18"/>
          <w:lang w:val="es-ES_tradnl" w:eastAsia="es-ES"/>
        </w:rPr>
        <w:t>Com. “A” 7869)</w:t>
      </w:r>
    </w:p>
    <w:p w14:paraId="4EF4907C" w14:textId="77777777" w:rsidR="00DE4D76" w:rsidRDefault="00DE4D76">
      <w:pPr>
        <w:spacing w:after="0" w:line="240" w:lineRule="auto"/>
        <w:rPr>
          <w:rFonts w:ascii="Verdana" w:eastAsia="Times New Roman" w:hAnsi="Verdana" w:cs="Times New Roman"/>
          <w:color w:val="323232"/>
          <w:sz w:val="18"/>
          <w:szCs w:val="18"/>
          <w:lang w:val="es-ES_tradnl" w:eastAsia="es-ES"/>
        </w:rPr>
      </w:pPr>
    </w:p>
    <w:p w14:paraId="1B73E573" w14:textId="7E6FD966" w:rsidR="00DE4D76" w:rsidRDefault="00000000" w:rsidP="006F0928">
      <w:pPr>
        <w:pStyle w:val="TextoPrincipal"/>
        <w:jc w:val="both"/>
        <w:divId w:val="575289601"/>
        <w:rPr>
          <w:rFonts w:eastAsia="Times New Roman"/>
        </w:rPr>
      </w:pPr>
      <w:r>
        <w:t> </w:t>
      </w:r>
      <w:bookmarkStart w:id="3" w:name="_Toc499886342"/>
      <w:r>
        <w:rPr>
          <w:rFonts w:eastAsia="Times New Roman"/>
          <w:lang w:val="es-ES_tradnl"/>
        </w:rPr>
        <w:t>2. SERVICIOS</w:t>
      </w:r>
      <w:bookmarkEnd w:id="3"/>
    </w:p>
    <w:p w14:paraId="48363BFA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S01   Mantenimiento y reparaciones</w:t>
      </w:r>
    </w:p>
    <w:p w14:paraId="63A7BF6F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S03   Servicios de transporte de pasajeros</w:t>
      </w:r>
    </w:p>
    <w:p w14:paraId="3567E875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S04   Otros servicios de transportes</w:t>
      </w:r>
    </w:p>
    <w:p w14:paraId="6E4D8FE4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S05   Servicios postales y de mensajería</w:t>
      </w:r>
    </w:p>
    <w:p w14:paraId="3096114B" w14:textId="77777777" w:rsidR="00DE4D76" w:rsidRDefault="00000000" w:rsidP="006858C5">
      <w:pPr>
        <w:pStyle w:val="TextoPrincipal"/>
        <w:ind w:left="567" w:hanging="567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S06   Viajes (excluidas las operaciones asociadas a retiros y/o consumos con tarjetas de residentes con proveedores no residentes o de no residentes con proveedores argentinos) (vigencia desde 01.12.2022) (Com. “A” 7646)</w:t>
      </w:r>
    </w:p>
    <w:p w14:paraId="082240A4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S07   Servicios de construcción</w:t>
      </w:r>
    </w:p>
    <w:p w14:paraId="2516979D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S08   Primas de seguros</w:t>
      </w:r>
    </w:p>
    <w:p w14:paraId="6EC3392D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S09   Siniestros</w:t>
      </w:r>
    </w:p>
    <w:p w14:paraId="527556B4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S10   Servicios auxiliares de seguros</w:t>
      </w:r>
    </w:p>
    <w:p w14:paraId="7A8C0BD5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S11   Servicios financieros</w:t>
      </w:r>
    </w:p>
    <w:p w14:paraId="69AEDF6A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S12   Servicios de telecomunicaciones</w:t>
      </w:r>
    </w:p>
    <w:p w14:paraId="74BDDB38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S13   Servicios de informática</w:t>
      </w:r>
    </w:p>
    <w:p w14:paraId="328FDAE5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S14   Servicios de información</w:t>
      </w:r>
    </w:p>
    <w:p w14:paraId="53CD5E3A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S15   Cargos por el uso de la propiedad intelectual</w:t>
      </w:r>
    </w:p>
    <w:p w14:paraId="08A4CB83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S16   Servicios de investigación y desarrollo</w:t>
      </w:r>
    </w:p>
    <w:p w14:paraId="35201E68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S17   Servicios jurídicos, contables y gerenciales</w:t>
      </w:r>
    </w:p>
    <w:p w14:paraId="2C3B5001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S18   Servicios de publicidad, investigación de mercado y encuestas de opinión pública</w:t>
      </w:r>
    </w:p>
    <w:p w14:paraId="7A78F021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S19   Servicios arquitectónicos, de ingeniería y otros servicios técnicos</w:t>
      </w:r>
    </w:p>
    <w:p w14:paraId="0CA123EB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S20   Servicios de arrendamiento operativo</w:t>
      </w:r>
    </w:p>
    <w:p w14:paraId="1CEBA0A7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S21   Servicios relacionados con el comercio</w:t>
      </w:r>
    </w:p>
    <w:p w14:paraId="167ED593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S22   Otros servicios empresariales</w:t>
      </w:r>
    </w:p>
    <w:p w14:paraId="1AD43701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S23   Servicios audiovisuales y conexos</w:t>
      </w:r>
    </w:p>
    <w:p w14:paraId="5A4EE998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S24   Otros servicios personales, culturales y recreativos</w:t>
      </w:r>
    </w:p>
    <w:p w14:paraId="206449F5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S25   Servicios del gobierno</w:t>
      </w:r>
    </w:p>
    <w:p w14:paraId="4275F865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S26   Servicios de salud por empresas de asistencia al viajero</w:t>
      </w:r>
    </w:p>
    <w:p w14:paraId="42C723F7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 xml:space="preserve">S27   Otros Servicios de Salud  </w:t>
      </w:r>
    </w:p>
    <w:p w14:paraId="6CBB9C6F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S28   Enseñanzas educativas (Com. “A” 7607)</w:t>
      </w:r>
    </w:p>
    <w:p w14:paraId="746D4921" w14:textId="750B786D" w:rsidR="00DE4D76" w:rsidRDefault="00000000" w:rsidP="006858C5">
      <w:pPr>
        <w:pStyle w:val="TextoPrincipal"/>
        <w:ind w:left="567" w:hanging="567"/>
        <w:jc w:val="both"/>
        <w:rPr>
          <w:lang w:val="es-ES_tradnl"/>
        </w:rPr>
      </w:pPr>
      <w:r>
        <w:rPr>
          <w:sz w:val="18"/>
          <w:szCs w:val="18"/>
          <w:lang w:val="es-ES_tradnl" w:eastAsia="es-ES"/>
        </w:rPr>
        <w:t>S</w:t>
      </w:r>
      <w:r w:rsidR="006858C5">
        <w:rPr>
          <w:sz w:val="18"/>
          <w:szCs w:val="18"/>
          <w:lang w:val="es-ES_tradnl" w:eastAsia="es-ES"/>
        </w:rPr>
        <w:t>29 Operaciones</w:t>
      </w:r>
      <w:r>
        <w:rPr>
          <w:sz w:val="18"/>
          <w:szCs w:val="18"/>
          <w:lang w:val="es-ES_tradnl" w:eastAsia="es-ES"/>
        </w:rPr>
        <w:t xml:space="preserve"> asociadas a retiros y/o consumos con tarjetas de residentes con proveedores no residentes o de no residentes con proveedores argentinos (vigencia desde 01.12.2022) (Com. “A” 7646)</w:t>
      </w:r>
    </w:p>
    <w:p w14:paraId="1F9B6C1A" w14:textId="77777777" w:rsidR="00DE4D76" w:rsidRDefault="00000000">
      <w:pPr>
        <w:pStyle w:val="TextoPrincipal"/>
        <w:jc w:val="both"/>
        <w:rPr>
          <w:color w:val="auto"/>
          <w:sz w:val="18"/>
          <w:szCs w:val="18"/>
          <w:lang w:val="es-ES_tradnl" w:eastAsia="es-ES"/>
        </w:rPr>
      </w:pPr>
      <w:r>
        <w:rPr>
          <w:color w:val="auto"/>
          <w:sz w:val="18"/>
          <w:szCs w:val="18"/>
          <w:lang w:val="es-ES_tradnl" w:eastAsia="es-ES"/>
        </w:rPr>
        <w:t>S30 Servicios de fletes por operaciones de importaciones de bienes (Com. “A” 7789)</w:t>
      </w:r>
    </w:p>
    <w:p w14:paraId="288EF7B1" w14:textId="4E1C6918" w:rsidR="00DE4D76" w:rsidRDefault="00000000">
      <w:pPr>
        <w:pStyle w:val="TextoPrincipal"/>
        <w:jc w:val="both"/>
        <w:rPr>
          <w:color w:val="auto"/>
          <w:sz w:val="18"/>
          <w:szCs w:val="18"/>
          <w:lang w:val="es-ES_tradnl" w:eastAsia="es-ES"/>
        </w:rPr>
      </w:pPr>
      <w:r>
        <w:rPr>
          <w:color w:val="auto"/>
          <w:sz w:val="18"/>
          <w:szCs w:val="18"/>
          <w:lang w:val="es-ES_tradnl" w:eastAsia="es-ES"/>
        </w:rPr>
        <w:t>S31 Servicios de fletes por operaciones de exportaciones de bienes (Com. “A” 7789)</w:t>
      </w:r>
    </w:p>
    <w:p w14:paraId="772685BF" w14:textId="4D01D108" w:rsidR="00464BEF" w:rsidRPr="00951792" w:rsidRDefault="00464BEF" w:rsidP="00464BEF">
      <w:pPr>
        <w:tabs>
          <w:tab w:val="left" w:pos="899"/>
          <w:tab w:val="left" w:pos="1465"/>
        </w:tabs>
        <w:spacing w:line="237" w:lineRule="auto"/>
        <w:ind w:left="692" w:right="137" w:hanging="692"/>
        <w:rPr>
          <w:rFonts w:ascii="Verdana" w:hAnsi="Verdana" w:cs="Times New Roman"/>
          <w:sz w:val="18"/>
          <w:szCs w:val="18"/>
          <w:lang w:val="es-ES_tradnl" w:eastAsia="es-ES"/>
        </w:rPr>
      </w:pPr>
      <w:r w:rsidRPr="00951792">
        <w:rPr>
          <w:rFonts w:ascii="Verdana" w:hAnsi="Verdana" w:cs="Times New Roman"/>
          <w:sz w:val="18"/>
          <w:szCs w:val="18"/>
          <w:lang w:val="es-ES_tradnl" w:eastAsia="es-ES"/>
        </w:rPr>
        <w:t xml:space="preserve">S32 Ingresos por cobros de exportaciones de servicios no liquidados (Decreto </w:t>
      </w:r>
      <w:proofErr w:type="spellStart"/>
      <w:r w:rsidRPr="00951792">
        <w:rPr>
          <w:rFonts w:ascii="Verdana" w:hAnsi="Verdana" w:cs="Times New Roman"/>
          <w:sz w:val="18"/>
          <w:szCs w:val="18"/>
          <w:lang w:val="es-ES_tradnl" w:eastAsia="es-ES"/>
        </w:rPr>
        <w:t>N°</w:t>
      </w:r>
      <w:proofErr w:type="spellEnd"/>
      <w:r w:rsidRPr="00951792">
        <w:rPr>
          <w:rFonts w:ascii="Verdana" w:hAnsi="Verdana" w:cs="Times New Roman"/>
          <w:sz w:val="18"/>
          <w:szCs w:val="18"/>
          <w:lang w:val="es-ES_tradnl" w:eastAsia="es-ES"/>
        </w:rPr>
        <w:t xml:space="preserve"> 549/23) (Com. “A” 7869) </w:t>
      </w:r>
    </w:p>
    <w:p w14:paraId="0FC0F767" w14:textId="77777777" w:rsidR="00DE4D76" w:rsidRDefault="00000000">
      <w:pPr>
        <w:pStyle w:val="TextoPrincipal"/>
        <w:jc w:val="both"/>
      </w:pPr>
      <w:r>
        <w:t> </w:t>
      </w:r>
    </w:p>
    <w:p w14:paraId="78DFE36F" w14:textId="77777777" w:rsidR="00DE4D76" w:rsidRDefault="00000000">
      <w:pPr>
        <w:pStyle w:val="Ttulo2"/>
        <w:jc w:val="both"/>
        <w:divId w:val="39399882"/>
        <w:rPr>
          <w:rFonts w:eastAsia="Times New Roman"/>
        </w:rPr>
      </w:pPr>
      <w:bookmarkStart w:id="4" w:name="_Toc499886343"/>
      <w:r>
        <w:rPr>
          <w:rFonts w:eastAsia="Times New Roman"/>
          <w:lang w:val="es-ES_tradnl"/>
        </w:rPr>
        <w:t>3. INGRESO PRIMARIO Y SECUNDARIO</w:t>
      </w:r>
      <w:bookmarkEnd w:id="4"/>
    </w:p>
    <w:p w14:paraId="4025224B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I01   Intereses del exterior</w:t>
      </w:r>
    </w:p>
    <w:p w14:paraId="6BA17295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I02   Intereses locales</w:t>
      </w:r>
    </w:p>
    <w:p w14:paraId="2BB5A814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I03   Utilidades y dividendos</w:t>
      </w:r>
    </w:p>
    <w:p w14:paraId="72FDDB1C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I04   Remuneración de empleados</w:t>
      </w:r>
    </w:p>
    <w:p w14:paraId="0FCBA4D4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I05   Alquiler de inmuebles</w:t>
      </w:r>
    </w:p>
    <w:p w14:paraId="127F22F9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I06   Otras rentas</w:t>
      </w:r>
    </w:p>
    <w:p w14:paraId="326D68A6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I07   Transferencias personales</w:t>
      </w:r>
    </w:p>
    <w:p w14:paraId="2A547901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I08   Otras transferencias corrientes</w:t>
      </w:r>
    </w:p>
    <w:p w14:paraId="05B2E6E5" w14:textId="77777777" w:rsidR="00DE4D76" w:rsidRDefault="00000000">
      <w:pPr>
        <w:pStyle w:val="TextoPrincipal"/>
        <w:jc w:val="both"/>
      </w:pPr>
      <w:r>
        <w:t> </w:t>
      </w:r>
    </w:p>
    <w:p w14:paraId="3B509644" w14:textId="77777777" w:rsidR="00DE4D76" w:rsidRDefault="00000000">
      <w:pPr>
        <w:pStyle w:val="Ttulo2"/>
        <w:jc w:val="both"/>
        <w:divId w:val="864487059"/>
        <w:rPr>
          <w:rFonts w:eastAsia="Times New Roman"/>
        </w:rPr>
      </w:pPr>
      <w:bookmarkStart w:id="5" w:name="_Toc499886344"/>
      <w:r>
        <w:rPr>
          <w:rFonts w:eastAsia="Times New Roman"/>
          <w:lang w:val="es-ES_tradnl"/>
        </w:rPr>
        <w:t>4. CAPITAL</w:t>
      </w:r>
      <w:bookmarkEnd w:id="5"/>
    </w:p>
    <w:p w14:paraId="1DA17596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C01   Adquisiciones/disposiciones de activos no financieros no producidos</w:t>
      </w:r>
    </w:p>
    <w:p w14:paraId="5628CEE3" w14:textId="09F3BCC4" w:rsidR="00DE4D76" w:rsidRDefault="00000000">
      <w:pPr>
        <w:pStyle w:val="TextoPrincipal"/>
        <w:jc w:val="both"/>
        <w:rPr>
          <w:sz w:val="18"/>
          <w:szCs w:val="18"/>
          <w:lang w:val="es-ES_tradnl"/>
        </w:rPr>
      </w:pPr>
      <w:r w:rsidRPr="00951792">
        <w:rPr>
          <w:color w:val="auto"/>
          <w:sz w:val="18"/>
          <w:szCs w:val="18"/>
          <w:lang w:val="es-ES_tradnl"/>
        </w:rPr>
        <w:t>C02   Transferencias de capital</w:t>
      </w:r>
    </w:p>
    <w:p w14:paraId="669D5888" w14:textId="58118975" w:rsidR="00EC0D7F" w:rsidRPr="0037779D" w:rsidRDefault="00EC0D7F">
      <w:pPr>
        <w:pStyle w:val="TextoPrincipal"/>
        <w:jc w:val="both"/>
        <w:rPr>
          <w:color w:val="auto"/>
          <w:sz w:val="18"/>
          <w:szCs w:val="18"/>
          <w:lang w:val="es-ES_tradnl"/>
        </w:rPr>
      </w:pPr>
      <w:r w:rsidRPr="0037779D">
        <w:rPr>
          <w:color w:val="auto"/>
          <w:sz w:val="18"/>
          <w:szCs w:val="18"/>
          <w:lang w:val="es-ES_tradnl"/>
        </w:rPr>
        <w:t>C</w:t>
      </w:r>
      <w:r w:rsidR="00CD0ECD" w:rsidRPr="0037779D">
        <w:rPr>
          <w:color w:val="auto"/>
          <w:sz w:val="18"/>
          <w:szCs w:val="18"/>
          <w:lang w:val="es-ES_tradnl"/>
        </w:rPr>
        <w:t>03 Ingresos</w:t>
      </w:r>
      <w:r w:rsidRPr="0037779D">
        <w:rPr>
          <w:color w:val="auto"/>
          <w:sz w:val="18"/>
          <w:szCs w:val="18"/>
          <w:lang w:val="es-ES_tradnl"/>
        </w:rPr>
        <w:t xml:space="preserve"> no liquidados por enajenación de activos no financieros no producidos (Comunicación “A” 7873) –</w:t>
      </w:r>
      <w:r w:rsidR="001C0EC5" w:rsidRPr="0037779D">
        <w:rPr>
          <w:color w:val="auto"/>
          <w:sz w:val="18"/>
          <w:szCs w:val="18"/>
          <w:lang w:val="es-ES_tradnl"/>
        </w:rPr>
        <w:t xml:space="preserve"> </w:t>
      </w:r>
      <w:r w:rsidRPr="0037779D">
        <w:rPr>
          <w:color w:val="auto"/>
          <w:sz w:val="18"/>
          <w:szCs w:val="18"/>
          <w:lang w:val="es-ES_tradnl"/>
        </w:rPr>
        <w:t>(Com. “A” 7875)</w:t>
      </w:r>
    </w:p>
    <w:p w14:paraId="7695BAAB" w14:textId="77777777" w:rsidR="00DE4D76" w:rsidRDefault="00000000">
      <w:pPr>
        <w:pStyle w:val="TextoPrincipal"/>
        <w:jc w:val="both"/>
      </w:pPr>
      <w:r>
        <w:t> </w:t>
      </w:r>
    </w:p>
    <w:p w14:paraId="69273B03" w14:textId="77777777" w:rsidR="00DE4D76" w:rsidRDefault="00000000">
      <w:pPr>
        <w:pStyle w:val="Ttulo2"/>
        <w:jc w:val="both"/>
        <w:divId w:val="1210611448"/>
        <w:rPr>
          <w:rFonts w:eastAsia="Times New Roman"/>
        </w:rPr>
      </w:pPr>
      <w:bookmarkStart w:id="6" w:name="_Toc499886345"/>
      <w:r>
        <w:rPr>
          <w:rFonts w:eastAsia="Times New Roman"/>
          <w:lang w:val="es-ES_tradnl"/>
        </w:rPr>
        <w:t xml:space="preserve">5. FINANCIERA - TRANSACCIONES DE ACTIVOS EXTERNOS Y OTROS ACTIVOS EN </w:t>
      </w:r>
      <w:proofErr w:type="gramStart"/>
      <w:r>
        <w:rPr>
          <w:rFonts w:eastAsia="Times New Roman"/>
          <w:lang w:val="es-ES_tradnl"/>
        </w:rPr>
        <w:t>MONEDA</w:t>
      </w:r>
      <w:proofErr w:type="gramEnd"/>
      <w:r>
        <w:rPr>
          <w:rFonts w:eastAsia="Times New Roman"/>
          <w:lang w:val="es-ES_tradnl"/>
        </w:rPr>
        <w:t xml:space="preserve"> EXTRANJERA</w:t>
      </w:r>
      <w:bookmarkEnd w:id="6"/>
    </w:p>
    <w:p w14:paraId="210FDCE6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A01   Instrumentos de deuda entre empresas afiliadas</w:t>
      </w:r>
    </w:p>
    <w:p w14:paraId="789A323A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A02   Inversiones de residentes en inmuebles en el exterior</w:t>
      </w:r>
    </w:p>
    <w:p w14:paraId="4E85D0A2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A03   Otras inversiones directas de residentes</w:t>
      </w:r>
    </w:p>
    <w:p w14:paraId="7EA1B08A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A04   Títulos de deuda</w:t>
      </w:r>
    </w:p>
    <w:p w14:paraId="1BFE883C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A05   Derivados financieros</w:t>
      </w:r>
    </w:p>
    <w:p w14:paraId="0EBD2112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A06   Préstamos otorgados a no residentes</w:t>
      </w:r>
    </w:p>
    <w:p w14:paraId="08AA56A8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A07   Depósitos de residentes en el exterior</w:t>
      </w:r>
    </w:p>
    <w:p w14:paraId="09CB1778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A08   Otras inversiones en el exterior de residentes</w:t>
      </w:r>
    </w:p>
    <w:p w14:paraId="4F4FFF0E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A09   Billetes y cheques de viajeros en poder de residentes</w:t>
      </w:r>
    </w:p>
    <w:p w14:paraId="4AF89939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A10   Débito/crédito de moneda extranjera en cuentas locales por transferencias con el exterior</w:t>
      </w:r>
    </w:p>
    <w:p w14:paraId="3E1AF114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A11   Suscripción primaria de entidades financieras de títulos valores</w:t>
      </w:r>
    </w:p>
    <w:p w14:paraId="2A9F7026" w14:textId="77777777" w:rsidR="00DE4D76" w:rsidRDefault="00000000">
      <w:pPr>
        <w:pStyle w:val="TextoPrincipal"/>
        <w:jc w:val="both"/>
        <w:rPr>
          <w:color w:val="auto"/>
          <w:sz w:val="18"/>
          <w:szCs w:val="18"/>
          <w:lang w:val="es-ES_tradnl"/>
        </w:rPr>
      </w:pPr>
      <w:r>
        <w:rPr>
          <w:color w:val="auto"/>
          <w:sz w:val="18"/>
          <w:szCs w:val="18"/>
          <w:lang w:val="es-ES_tradnl"/>
        </w:rPr>
        <w:t>A12   Otras operaciones de compra/venta de títulos valores por parte de entidades.</w:t>
      </w:r>
    </w:p>
    <w:p w14:paraId="419E1A27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A14   Operaciones de empresas procesadoras de pagos.</w:t>
      </w:r>
    </w:p>
    <w:p w14:paraId="695E146B" w14:textId="77777777" w:rsidR="00DE4D76" w:rsidRDefault="00000000">
      <w:pPr>
        <w:pStyle w:val="TextoPrincipal"/>
        <w:ind w:left="567" w:hanging="567"/>
        <w:jc w:val="both"/>
        <w:rPr>
          <w:rFonts w:eastAsia="Times New Roman"/>
          <w:sz w:val="18"/>
          <w:szCs w:val="18"/>
          <w:lang w:val="es-ES_tradnl" w:eastAsia="es-ES"/>
        </w:rPr>
      </w:pPr>
      <w:r>
        <w:rPr>
          <w:rFonts w:eastAsia="Times New Roman"/>
          <w:sz w:val="18"/>
          <w:szCs w:val="18"/>
          <w:lang w:val="es-ES_tradnl" w:eastAsia="es-ES"/>
        </w:rPr>
        <w:t>A15   Ingresos de divisas vinculadas a exportaciones de bienes pendientes de liquidación (Com. “A” 7538)</w:t>
      </w:r>
    </w:p>
    <w:p w14:paraId="59424D4C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A16   Billetes asociados a operaciones entre residentes</w:t>
      </w:r>
    </w:p>
    <w:p w14:paraId="5F9C432F" w14:textId="77777777" w:rsidR="00DE4D76" w:rsidRDefault="00000000">
      <w:pPr>
        <w:pStyle w:val="TextoPrincipal"/>
        <w:jc w:val="both"/>
      </w:pPr>
      <w:r>
        <w:rPr>
          <w:sz w:val="18"/>
          <w:szCs w:val="18"/>
          <w:lang w:val="es-ES_tradnl"/>
        </w:rPr>
        <w:t>A17   Transferencias desde/al exterior asociadas a operaciones entre residentes</w:t>
      </w:r>
    </w:p>
    <w:p w14:paraId="08CA5578" w14:textId="33D15164" w:rsidR="00DE4D76" w:rsidRDefault="00000000">
      <w:pPr>
        <w:pStyle w:val="TextoPrincipal"/>
        <w:ind w:left="567" w:hanging="567"/>
        <w:jc w:val="both"/>
        <w:rPr>
          <w:color w:val="auto"/>
          <w:sz w:val="18"/>
          <w:szCs w:val="18"/>
          <w:lang w:val="es-ES_tradnl"/>
        </w:rPr>
      </w:pPr>
      <w:r>
        <w:rPr>
          <w:color w:val="auto"/>
          <w:sz w:val="18"/>
          <w:szCs w:val="18"/>
          <w:lang w:val="es-ES_tradnl"/>
        </w:rPr>
        <w:t>A18   Compra de moneda extranjera para la adquisición de inmuebles en el país con crédito hipotecario (</w:t>
      </w:r>
      <w:r w:rsidR="006858C5">
        <w:rPr>
          <w:color w:val="auto"/>
          <w:sz w:val="18"/>
          <w:szCs w:val="18"/>
          <w:lang w:val="es-ES_tradnl"/>
        </w:rPr>
        <w:t>Com.” A</w:t>
      </w:r>
      <w:r>
        <w:rPr>
          <w:color w:val="auto"/>
          <w:sz w:val="18"/>
          <w:szCs w:val="18"/>
          <w:lang w:val="es-ES_tradnl"/>
        </w:rPr>
        <w:t>” 6793)</w:t>
      </w:r>
    </w:p>
    <w:p w14:paraId="553D8594" w14:textId="77777777" w:rsidR="00DE4D76" w:rsidRDefault="00000000">
      <w:pPr>
        <w:pStyle w:val="TextoPrincipal"/>
        <w:ind w:left="567" w:hanging="567"/>
        <w:jc w:val="both"/>
        <w:rPr>
          <w:color w:val="auto"/>
          <w:lang w:val="es-ES_tradnl"/>
        </w:rPr>
      </w:pPr>
      <w:r>
        <w:rPr>
          <w:color w:val="auto"/>
          <w:sz w:val="18"/>
          <w:szCs w:val="18"/>
          <w:lang w:val="es-ES_tradnl"/>
        </w:rPr>
        <w:t>A19   Constitución de depósitos en moneda extranjera para aplicar al pago de servicios de deuda (Com. “A” 6797 y Com. “A” 6826)</w:t>
      </w:r>
    </w:p>
    <w:p w14:paraId="343A6651" w14:textId="77777777" w:rsidR="00DE4D76" w:rsidRDefault="00000000">
      <w:pPr>
        <w:pStyle w:val="TextoPrincipal"/>
        <w:ind w:left="567" w:hanging="567"/>
        <w:jc w:val="both"/>
        <w:rPr>
          <w:color w:val="auto"/>
          <w:sz w:val="18"/>
          <w:szCs w:val="18"/>
          <w:lang w:val="es-ES_tradnl"/>
        </w:rPr>
      </w:pPr>
      <w:r>
        <w:rPr>
          <w:color w:val="auto"/>
          <w:sz w:val="18"/>
          <w:szCs w:val="18"/>
          <w:lang w:val="es-ES_tradnl"/>
        </w:rPr>
        <w:t>A20   Billetes en moneda extranjera por instrucción judicial. (Com. “A” 6807)</w:t>
      </w:r>
    </w:p>
    <w:p w14:paraId="3F740C50" w14:textId="3020A882" w:rsidR="00DE4D76" w:rsidRDefault="00000000">
      <w:pPr>
        <w:pStyle w:val="TextoPrincipal"/>
        <w:ind w:left="567" w:hanging="567"/>
        <w:jc w:val="both"/>
        <w:rPr>
          <w:lang w:val="es-ES_tradnl"/>
        </w:rPr>
      </w:pPr>
      <w:r>
        <w:rPr>
          <w:color w:val="auto"/>
          <w:sz w:val="18"/>
          <w:szCs w:val="18"/>
          <w:lang w:val="es-ES_tradnl"/>
        </w:rPr>
        <w:t>A</w:t>
      </w:r>
      <w:r w:rsidR="006858C5">
        <w:rPr>
          <w:color w:val="auto"/>
          <w:sz w:val="18"/>
          <w:szCs w:val="18"/>
          <w:lang w:val="es-ES_tradnl"/>
        </w:rPr>
        <w:t>21 Billetes</w:t>
      </w:r>
      <w:r>
        <w:rPr>
          <w:color w:val="auto"/>
          <w:sz w:val="18"/>
          <w:szCs w:val="18"/>
          <w:lang w:val="es-ES_tradnl"/>
        </w:rPr>
        <w:t xml:space="preserve"> en moneda extranjera de representaciones diplomáticas y consulares, organismos internacionales y otro personal diplomático acreditado.  (Com. “A” 6807)</w:t>
      </w:r>
    </w:p>
    <w:p w14:paraId="62093F90" w14:textId="002C457F" w:rsidR="00DE4D76" w:rsidRDefault="00000000">
      <w:pPr>
        <w:pStyle w:val="TextoPrincipal"/>
        <w:ind w:left="567" w:hanging="567"/>
        <w:jc w:val="both"/>
        <w:rPr>
          <w:lang w:val="es-ES_tradnl"/>
        </w:rPr>
      </w:pPr>
      <w:r>
        <w:rPr>
          <w:color w:val="auto"/>
          <w:sz w:val="18"/>
          <w:szCs w:val="18"/>
          <w:lang w:val="es-ES_tradnl"/>
        </w:rPr>
        <w:t>A22   Acreditación de cobros de exportaciones de bienes y servicios. (Com. “A” 7520 y Com</w:t>
      </w:r>
      <w:r w:rsidR="006858C5">
        <w:rPr>
          <w:color w:val="auto"/>
          <w:sz w:val="18"/>
          <w:szCs w:val="18"/>
          <w:lang w:val="es-ES_tradnl"/>
        </w:rPr>
        <w:t>.</w:t>
      </w:r>
      <w:r>
        <w:rPr>
          <w:color w:val="auto"/>
          <w:sz w:val="18"/>
          <w:szCs w:val="18"/>
          <w:lang w:val="es-ES_tradnl"/>
        </w:rPr>
        <w:t xml:space="preserve"> “A” 7753) </w:t>
      </w:r>
    </w:p>
    <w:p w14:paraId="17D863BD" w14:textId="65FF6D7C" w:rsidR="00DE4D76" w:rsidRDefault="00000000">
      <w:pPr>
        <w:spacing w:after="0" w:line="240" w:lineRule="auto"/>
        <w:rPr>
          <w:rFonts w:ascii="Verdana" w:hAnsi="Verdana" w:cs="Times New Roman"/>
          <w:sz w:val="18"/>
          <w:szCs w:val="18"/>
          <w:lang w:val="es-ES_tradnl"/>
        </w:rPr>
      </w:pPr>
      <w:r>
        <w:rPr>
          <w:rFonts w:ascii="Verdana" w:hAnsi="Verdana" w:cs="Times New Roman"/>
          <w:sz w:val="18"/>
          <w:szCs w:val="18"/>
          <w:lang w:val="es-ES_tradnl"/>
        </w:rPr>
        <w:t>A</w:t>
      </w:r>
      <w:r w:rsidR="006858C5">
        <w:rPr>
          <w:rFonts w:ascii="Verdana" w:hAnsi="Verdana" w:cs="Times New Roman"/>
          <w:sz w:val="18"/>
          <w:szCs w:val="18"/>
          <w:lang w:val="es-ES_tradnl"/>
        </w:rPr>
        <w:t>23 Constitución</w:t>
      </w:r>
      <w:r>
        <w:rPr>
          <w:rFonts w:ascii="Verdana" w:hAnsi="Verdana" w:cs="Times New Roman"/>
          <w:sz w:val="18"/>
          <w:szCs w:val="18"/>
          <w:lang w:val="es-ES_tradnl"/>
        </w:rPr>
        <w:t xml:space="preserve"> de depósitos en el exterior para afectar al pago de importaciones de combustibles o energía (Com. “A” 7801)</w:t>
      </w:r>
    </w:p>
    <w:p w14:paraId="6376F6C4" w14:textId="77777777" w:rsidR="00DE4D76" w:rsidRDefault="00DE4D7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/>
        </w:rPr>
      </w:pPr>
    </w:p>
    <w:p w14:paraId="65E5A461" w14:textId="77777777" w:rsidR="00DE4D76" w:rsidRDefault="00000000">
      <w:pPr>
        <w:pStyle w:val="TextoPrincipal"/>
        <w:ind w:left="567" w:hanging="567"/>
        <w:jc w:val="both"/>
      </w:pPr>
      <w:r>
        <w:t> </w:t>
      </w:r>
    </w:p>
    <w:p w14:paraId="35DFFBA6" w14:textId="77777777" w:rsidR="00DE4D76" w:rsidRDefault="00000000">
      <w:pPr>
        <w:pStyle w:val="Ttulo2"/>
        <w:jc w:val="both"/>
        <w:divId w:val="975719958"/>
        <w:rPr>
          <w:rFonts w:eastAsia="Times New Roman"/>
        </w:rPr>
      </w:pPr>
      <w:bookmarkStart w:id="7" w:name="_Toc499886346"/>
      <w:r>
        <w:rPr>
          <w:rFonts w:eastAsia="Times New Roman"/>
          <w:lang w:val="es-ES_tradnl"/>
        </w:rPr>
        <w:t xml:space="preserve">6. FINANCIERA - TRANSACCIONES DE PASIVOS EXTERNOS Y OTROS PASIVOS EN </w:t>
      </w:r>
      <w:proofErr w:type="gramStart"/>
      <w:r>
        <w:rPr>
          <w:rFonts w:eastAsia="Times New Roman"/>
          <w:lang w:val="es-ES_tradnl"/>
        </w:rPr>
        <w:t>MONEDA</w:t>
      </w:r>
      <w:proofErr w:type="gramEnd"/>
      <w:r>
        <w:rPr>
          <w:rFonts w:eastAsia="Times New Roman"/>
          <w:lang w:val="es-ES_tradnl"/>
        </w:rPr>
        <w:t xml:space="preserve"> EXTRANJERA</w:t>
      </w:r>
      <w:bookmarkEnd w:id="7"/>
    </w:p>
    <w:p w14:paraId="6CC5E40C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P01 Instrumentos de deuda entre empresas afiliadas</w:t>
      </w:r>
    </w:p>
    <w:p w14:paraId="7ECA8AE7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P02 Inversiones de no residentes en inmuebles en el país</w:t>
      </w:r>
    </w:p>
    <w:p w14:paraId="3B3FCB83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P03 Otras inversiones directas de no residentes</w:t>
      </w:r>
    </w:p>
    <w:p w14:paraId="196F235B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P04 Títulos de deuda</w:t>
      </w:r>
    </w:p>
    <w:p w14:paraId="57AC0777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P05 Derivados financieros</w:t>
      </w:r>
    </w:p>
    <w:p w14:paraId="7DA73CEA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P06 Préstamos financieros de organismos internacionales y agencias oficiales de crédito</w:t>
      </w:r>
    </w:p>
    <w:p w14:paraId="13D8D14D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P08 Otros préstamos financieros</w:t>
      </w:r>
    </w:p>
    <w:p w14:paraId="7FE226D9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P09 Líneas de crédito del exterior</w:t>
      </w:r>
    </w:p>
    <w:p w14:paraId="21F955A9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P10 Depósitos locales de no residentes</w:t>
      </w:r>
    </w:p>
    <w:p w14:paraId="7557ED90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P11 Otras inversiones de no residentes</w:t>
      </w:r>
    </w:p>
    <w:p w14:paraId="49419DDB" w14:textId="77777777" w:rsidR="00DE4D76" w:rsidRDefault="00000000" w:rsidP="0037779D">
      <w:pPr>
        <w:pStyle w:val="TextoPrincipal"/>
        <w:ind w:left="426" w:hanging="426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P12 Otras financiaciones locales otorgadas por la entidad (excluida la financiación de exportaciones y tarjeta de crédito) (vigencia desde 16.12.2022) (Com. “A” 7646)</w:t>
      </w:r>
    </w:p>
    <w:p w14:paraId="7551ADCD" w14:textId="7EF8B3C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P13 Pagos de principal de deudas financieras con el exterior originadas en importaciones de bienes (</w:t>
      </w:r>
      <w:r w:rsidR="006858C5">
        <w:rPr>
          <w:sz w:val="18"/>
          <w:szCs w:val="18"/>
          <w:lang w:val="es-ES_tradnl" w:eastAsia="es-ES"/>
        </w:rPr>
        <w:t>Com.” A</w:t>
      </w:r>
      <w:r>
        <w:rPr>
          <w:sz w:val="18"/>
          <w:szCs w:val="18"/>
          <w:lang w:val="es-ES_tradnl" w:eastAsia="es-ES"/>
        </w:rPr>
        <w:t>” 7058)</w:t>
      </w:r>
    </w:p>
    <w:p w14:paraId="59858A1B" w14:textId="2DBEC079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P14 Depósitos locales de no residentes asociados a ingresos destinados a viajes (Com. “</w:t>
      </w:r>
      <w:r w:rsidR="006858C5">
        <w:rPr>
          <w:sz w:val="18"/>
          <w:szCs w:val="18"/>
          <w:lang w:val="es-ES_tradnl" w:eastAsia="es-ES"/>
        </w:rPr>
        <w:t>A” 7413</w:t>
      </w:r>
      <w:r>
        <w:rPr>
          <w:sz w:val="18"/>
          <w:szCs w:val="18"/>
          <w:lang w:val="es-ES_tradnl" w:eastAsia="es-ES"/>
        </w:rPr>
        <w:t>)</w:t>
      </w:r>
    </w:p>
    <w:p w14:paraId="731018BA" w14:textId="77777777" w:rsidR="00DE4D76" w:rsidRDefault="00000000" w:rsidP="0037779D">
      <w:pPr>
        <w:pStyle w:val="TextoPrincipal"/>
        <w:ind w:left="426" w:hanging="426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P15 Compra de residentes para su entrega a la entidad en pago del saldo en moneda extranjera por uso de tarjetas (vigencia desde 16.12.2022) (Com. “A” 7646)</w:t>
      </w:r>
    </w:p>
    <w:p w14:paraId="4B919F7D" w14:textId="77777777" w:rsidR="00DE4D76" w:rsidRDefault="00000000">
      <w:pPr>
        <w:pStyle w:val="TextoPrincipal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P16 Pagos de principal de deudas financieras con el exterior originadas en importaciones de servicios (vigencia desde 27.08.2021) (Com. “A” 7646)</w:t>
      </w:r>
    </w:p>
    <w:p w14:paraId="2CA06B6F" w14:textId="6CEB0FD5" w:rsidR="005F3D2F" w:rsidRDefault="00000000" w:rsidP="0037779D">
      <w:pPr>
        <w:pStyle w:val="TextoPrincipal"/>
        <w:ind w:left="426" w:hanging="426"/>
        <w:jc w:val="both"/>
        <w:rPr>
          <w:sz w:val="18"/>
          <w:szCs w:val="18"/>
          <w:lang w:val="es-ES_tradnl" w:eastAsia="es-ES"/>
        </w:rPr>
      </w:pPr>
      <w:r>
        <w:rPr>
          <w:sz w:val="18"/>
          <w:szCs w:val="18"/>
          <w:lang w:val="es-ES_tradnl" w:eastAsia="es-ES"/>
        </w:rPr>
        <w:t>P17 Registro de refinanciación de deuda comercial en el marco del punto 20. de la Comunicación "A" 7626 (vigencia desde 27.08.2021) (Com. “A” 7646)</w:t>
      </w:r>
    </w:p>
    <w:p w14:paraId="1387A923" w14:textId="46640987" w:rsidR="006F0928" w:rsidRPr="006F0928" w:rsidRDefault="006F0928" w:rsidP="0037779D">
      <w:pPr>
        <w:tabs>
          <w:tab w:val="left" w:pos="426"/>
          <w:tab w:val="left" w:pos="1465"/>
        </w:tabs>
        <w:spacing w:after="0"/>
        <w:ind w:left="426" w:right="131" w:hanging="426"/>
        <w:rPr>
          <w:rFonts w:ascii="Verdana" w:hAnsi="Verdana" w:cs="Times New Roman"/>
          <w:color w:val="323232"/>
          <w:sz w:val="18"/>
          <w:szCs w:val="18"/>
          <w:lang w:val="es-ES_tradnl" w:eastAsia="es-ES"/>
        </w:rPr>
      </w:pPr>
      <w:r w:rsidRPr="0037779D">
        <w:rPr>
          <w:rFonts w:ascii="Verdana" w:hAnsi="Verdana" w:cs="Times New Roman"/>
          <w:color w:val="323232"/>
          <w:sz w:val="18"/>
          <w:szCs w:val="18"/>
          <w:lang w:val="es-ES_tradnl" w:eastAsia="es-ES"/>
        </w:rPr>
        <w:t xml:space="preserve">P18 Registro de endeudamiento financiero habilitado para aplicar divisas de exportaciones (Com. “A” 7770 y complementarias) </w:t>
      </w:r>
      <w:r w:rsidR="004F7F8E" w:rsidRPr="0037779D">
        <w:rPr>
          <w:rFonts w:ascii="Verdana" w:hAnsi="Verdana" w:cs="Times New Roman"/>
          <w:color w:val="323232"/>
          <w:sz w:val="18"/>
          <w:szCs w:val="18"/>
          <w:lang w:val="es-ES_tradnl" w:eastAsia="es-ES"/>
        </w:rPr>
        <w:t xml:space="preserve">-vigencia desde 19.05.2023- </w:t>
      </w:r>
      <w:r w:rsidR="00EC0D7F" w:rsidRPr="0037779D">
        <w:rPr>
          <w:rFonts w:ascii="Verdana" w:hAnsi="Verdana" w:cs="Times New Roman"/>
          <w:color w:val="323232"/>
          <w:sz w:val="18"/>
          <w:szCs w:val="18"/>
          <w:lang w:val="es-ES_tradnl" w:eastAsia="es-ES"/>
        </w:rPr>
        <w:t>(Com. “A” 7869)</w:t>
      </w:r>
    </w:p>
    <w:p w14:paraId="5670716A" w14:textId="6F3DA634" w:rsidR="006F0928" w:rsidRPr="0037779D" w:rsidRDefault="006F0928" w:rsidP="0037779D">
      <w:pPr>
        <w:tabs>
          <w:tab w:val="left" w:pos="899"/>
          <w:tab w:val="left" w:pos="1465"/>
        </w:tabs>
        <w:spacing w:after="0" w:line="237" w:lineRule="auto"/>
        <w:ind w:left="426" w:right="132" w:hanging="426"/>
        <w:rPr>
          <w:rFonts w:ascii="Verdana" w:hAnsi="Verdana" w:cs="Times New Roman"/>
          <w:color w:val="323232"/>
          <w:sz w:val="18"/>
          <w:szCs w:val="18"/>
          <w:lang w:val="es-ES_tradnl" w:eastAsia="es-ES"/>
        </w:rPr>
      </w:pPr>
      <w:r w:rsidRPr="0037779D">
        <w:rPr>
          <w:rFonts w:ascii="Verdana" w:hAnsi="Verdana" w:cs="Times New Roman"/>
          <w:color w:val="323232"/>
          <w:sz w:val="18"/>
          <w:szCs w:val="18"/>
          <w:lang w:val="es-ES_tradnl" w:eastAsia="es-ES"/>
        </w:rPr>
        <w:t xml:space="preserve">P19 Registro de endeudamiento financiero del exterior asociados a la importación de bienes de capital en el marco del Decreto </w:t>
      </w:r>
      <w:proofErr w:type="spellStart"/>
      <w:r w:rsidRPr="0037779D">
        <w:rPr>
          <w:rFonts w:ascii="Verdana" w:hAnsi="Verdana" w:cs="Times New Roman"/>
          <w:color w:val="323232"/>
          <w:sz w:val="18"/>
          <w:szCs w:val="18"/>
          <w:lang w:val="es-ES_tradnl" w:eastAsia="es-ES"/>
        </w:rPr>
        <w:t>N°</w:t>
      </w:r>
      <w:proofErr w:type="spellEnd"/>
      <w:r w:rsidRPr="0037779D">
        <w:rPr>
          <w:rFonts w:ascii="Verdana" w:hAnsi="Verdana" w:cs="Times New Roman"/>
          <w:color w:val="323232"/>
          <w:sz w:val="18"/>
          <w:szCs w:val="18"/>
          <w:lang w:val="es-ES_tradnl" w:eastAsia="es-ES"/>
        </w:rPr>
        <w:t xml:space="preserve"> 234/21</w:t>
      </w:r>
      <w:r w:rsidR="00EC0D7F" w:rsidRPr="0037779D">
        <w:rPr>
          <w:rFonts w:ascii="Verdana" w:hAnsi="Verdana" w:cs="Times New Roman"/>
          <w:color w:val="323232"/>
          <w:sz w:val="18"/>
          <w:szCs w:val="18"/>
          <w:lang w:val="es-ES_tradnl" w:eastAsia="es-ES"/>
        </w:rPr>
        <w:t xml:space="preserve"> –</w:t>
      </w:r>
      <w:r w:rsidR="004F7F8E" w:rsidRPr="0037779D">
        <w:rPr>
          <w:rFonts w:ascii="Verdana" w:hAnsi="Verdana" w:cs="Times New Roman"/>
          <w:color w:val="323232"/>
          <w:sz w:val="18"/>
          <w:szCs w:val="18"/>
          <w:lang w:val="es-ES_tradnl" w:eastAsia="es-ES"/>
        </w:rPr>
        <w:t xml:space="preserve"> vigencia desde 30.06.2023 -</w:t>
      </w:r>
      <w:r w:rsidR="00EC0D7F" w:rsidRPr="0037779D">
        <w:rPr>
          <w:rFonts w:ascii="Verdana" w:hAnsi="Verdana" w:cs="Times New Roman"/>
          <w:color w:val="323232"/>
          <w:sz w:val="18"/>
          <w:szCs w:val="18"/>
          <w:lang w:val="es-ES_tradnl" w:eastAsia="es-ES"/>
        </w:rPr>
        <w:t xml:space="preserve"> (Com. “A” 7869)</w:t>
      </w:r>
    </w:p>
    <w:p w14:paraId="10CB4170" w14:textId="092E1147" w:rsidR="006F0928" w:rsidRPr="006F0928" w:rsidRDefault="006F0928" w:rsidP="0037779D">
      <w:pPr>
        <w:pStyle w:val="TextoPrincipal"/>
        <w:spacing w:before="0" w:after="0"/>
        <w:ind w:left="426" w:hanging="426"/>
        <w:jc w:val="both"/>
        <w:rPr>
          <w:color w:val="FF0000"/>
          <w:sz w:val="18"/>
          <w:szCs w:val="18"/>
          <w:lang w:val="es-ES_tradnl" w:eastAsia="es-ES"/>
        </w:rPr>
      </w:pPr>
      <w:r w:rsidRPr="0037779D">
        <w:rPr>
          <w:sz w:val="18"/>
          <w:szCs w:val="18"/>
          <w:lang w:val="es-ES_tradnl" w:eastAsia="es-ES"/>
        </w:rPr>
        <w:t xml:space="preserve">P20 Registro de aporte de inversión directa en especie por bienes de capital en el marco del Decreto </w:t>
      </w:r>
      <w:proofErr w:type="spellStart"/>
      <w:r w:rsidRPr="0037779D">
        <w:rPr>
          <w:sz w:val="18"/>
          <w:szCs w:val="18"/>
          <w:lang w:val="es-ES_tradnl" w:eastAsia="es-ES"/>
        </w:rPr>
        <w:t>N°</w:t>
      </w:r>
      <w:proofErr w:type="spellEnd"/>
      <w:r w:rsidRPr="0037779D">
        <w:rPr>
          <w:sz w:val="18"/>
          <w:szCs w:val="18"/>
          <w:lang w:val="es-ES_tradnl" w:eastAsia="es-ES"/>
        </w:rPr>
        <w:t xml:space="preserve"> 234/21 </w:t>
      </w:r>
      <w:r w:rsidR="00EC0D7F" w:rsidRPr="0037779D">
        <w:rPr>
          <w:sz w:val="18"/>
          <w:szCs w:val="18"/>
          <w:lang w:val="es-ES_tradnl" w:eastAsia="es-ES"/>
        </w:rPr>
        <w:t>–</w:t>
      </w:r>
      <w:r w:rsidR="004F7F8E" w:rsidRPr="0037779D">
        <w:rPr>
          <w:sz w:val="18"/>
          <w:szCs w:val="18"/>
          <w:lang w:val="es-ES_tradnl" w:eastAsia="es-ES"/>
        </w:rPr>
        <w:t xml:space="preserve"> vigencia desde 30.06.2023 -</w:t>
      </w:r>
      <w:r w:rsidR="00EC0D7F" w:rsidRPr="0037779D">
        <w:rPr>
          <w:sz w:val="18"/>
          <w:szCs w:val="18"/>
          <w:lang w:val="es-ES_tradnl" w:eastAsia="es-ES"/>
        </w:rPr>
        <w:t xml:space="preserve"> (Com. “A” 7869</w:t>
      </w:r>
      <w:r w:rsidR="00EC0D7F" w:rsidRPr="0037779D">
        <w:rPr>
          <w:color w:val="auto"/>
          <w:sz w:val="18"/>
          <w:szCs w:val="18"/>
          <w:lang w:val="es-ES_tradnl" w:eastAsia="es-ES"/>
        </w:rPr>
        <w:t>)</w:t>
      </w:r>
    </w:p>
    <w:sectPr w:rsidR="006F0928" w:rsidRPr="006F0928">
      <w:pgSz w:w="11907" w:h="1683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2764"/>
    <w:multiLevelType w:val="hybridMultilevel"/>
    <w:tmpl w:val="B302CAB0"/>
    <w:lvl w:ilvl="0" w:tplc="58D09AB2">
      <w:numFmt w:val="bullet"/>
      <w:lvlText w:val=""/>
      <w:lvlJc w:val="left"/>
      <w:pPr>
        <w:ind w:left="1465" w:hanging="2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12AD186">
      <w:numFmt w:val="bullet"/>
      <w:lvlText w:val="•"/>
      <w:lvlJc w:val="left"/>
      <w:pPr>
        <w:ind w:left="2324" w:hanging="208"/>
      </w:pPr>
      <w:rPr>
        <w:rFonts w:hint="default"/>
        <w:lang w:val="es-ES" w:eastAsia="en-US" w:bidi="ar-SA"/>
      </w:rPr>
    </w:lvl>
    <w:lvl w:ilvl="2" w:tplc="BCC8EFCC">
      <w:numFmt w:val="bullet"/>
      <w:lvlText w:val="•"/>
      <w:lvlJc w:val="left"/>
      <w:pPr>
        <w:ind w:left="3189" w:hanging="208"/>
      </w:pPr>
      <w:rPr>
        <w:rFonts w:hint="default"/>
        <w:lang w:val="es-ES" w:eastAsia="en-US" w:bidi="ar-SA"/>
      </w:rPr>
    </w:lvl>
    <w:lvl w:ilvl="3" w:tplc="2BDE6DF8">
      <w:numFmt w:val="bullet"/>
      <w:lvlText w:val="•"/>
      <w:lvlJc w:val="left"/>
      <w:pPr>
        <w:ind w:left="4054" w:hanging="208"/>
      </w:pPr>
      <w:rPr>
        <w:rFonts w:hint="default"/>
        <w:lang w:val="es-ES" w:eastAsia="en-US" w:bidi="ar-SA"/>
      </w:rPr>
    </w:lvl>
    <w:lvl w:ilvl="4" w:tplc="546E75CE">
      <w:numFmt w:val="bullet"/>
      <w:lvlText w:val="•"/>
      <w:lvlJc w:val="left"/>
      <w:pPr>
        <w:ind w:left="4919" w:hanging="208"/>
      </w:pPr>
      <w:rPr>
        <w:rFonts w:hint="default"/>
        <w:lang w:val="es-ES" w:eastAsia="en-US" w:bidi="ar-SA"/>
      </w:rPr>
    </w:lvl>
    <w:lvl w:ilvl="5" w:tplc="ECAAE028">
      <w:numFmt w:val="bullet"/>
      <w:lvlText w:val="•"/>
      <w:lvlJc w:val="left"/>
      <w:pPr>
        <w:ind w:left="5783" w:hanging="208"/>
      </w:pPr>
      <w:rPr>
        <w:rFonts w:hint="default"/>
        <w:lang w:val="es-ES" w:eastAsia="en-US" w:bidi="ar-SA"/>
      </w:rPr>
    </w:lvl>
    <w:lvl w:ilvl="6" w:tplc="0F325C2E">
      <w:numFmt w:val="bullet"/>
      <w:lvlText w:val="•"/>
      <w:lvlJc w:val="left"/>
      <w:pPr>
        <w:ind w:left="6648" w:hanging="208"/>
      </w:pPr>
      <w:rPr>
        <w:rFonts w:hint="default"/>
        <w:lang w:val="es-ES" w:eastAsia="en-US" w:bidi="ar-SA"/>
      </w:rPr>
    </w:lvl>
    <w:lvl w:ilvl="7" w:tplc="ADCC199E">
      <w:numFmt w:val="bullet"/>
      <w:lvlText w:val="•"/>
      <w:lvlJc w:val="left"/>
      <w:pPr>
        <w:ind w:left="7513" w:hanging="208"/>
      </w:pPr>
      <w:rPr>
        <w:rFonts w:hint="default"/>
        <w:lang w:val="es-ES" w:eastAsia="en-US" w:bidi="ar-SA"/>
      </w:rPr>
    </w:lvl>
    <w:lvl w:ilvl="8" w:tplc="36D62C7A">
      <w:numFmt w:val="bullet"/>
      <w:lvlText w:val="•"/>
      <w:lvlJc w:val="left"/>
      <w:pPr>
        <w:ind w:left="8378" w:hanging="208"/>
      </w:pPr>
      <w:rPr>
        <w:rFonts w:hint="default"/>
        <w:lang w:val="es-ES" w:eastAsia="en-US" w:bidi="ar-SA"/>
      </w:rPr>
    </w:lvl>
  </w:abstractNum>
  <w:abstractNum w:abstractNumId="1" w15:restartNumberingAfterBreak="0">
    <w:nsid w:val="54173D38"/>
    <w:multiLevelType w:val="hybridMultilevel"/>
    <w:tmpl w:val="A2FADD42"/>
    <w:lvl w:ilvl="0" w:tplc="D24E7E08">
      <w:numFmt w:val="bullet"/>
      <w:lvlText w:val=""/>
      <w:lvlJc w:val="left"/>
      <w:pPr>
        <w:ind w:left="1465" w:hanging="2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1ECEF3C">
      <w:numFmt w:val="bullet"/>
      <w:lvlText w:val="•"/>
      <w:lvlJc w:val="left"/>
      <w:pPr>
        <w:ind w:left="2324" w:hanging="208"/>
      </w:pPr>
      <w:rPr>
        <w:rFonts w:hint="default"/>
        <w:lang w:val="es-ES" w:eastAsia="en-US" w:bidi="ar-SA"/>
      </w:rPr>
    </w:lvl>
    <w:lvl w:ilvl="2" w:tplc="92D80644">
      <w:numFmt w:val="bullet"/>
      <w:lvlText w:val="•"/>
      <w:lvlJc w:val="left"/>
      <w:pPr>
        <w:ind w:left="3189" w:hanging="208"/>
      </w:pPr>
      <w:rPr>
        <w:rFonts w:hint="default"/>
        <w:lang w:val="es-ES" w:eastAsia="en-US" w:bidi="ar-SA"/>
      </w:rPr>
    </w:lvl>
    <w:lvl w:ilvl="3" w:tplc="B3925A5A">
      <w:numFmt w:val="bullet"/>
      <w:lvlText w:val="•"/>
      <w:lvlJc w:val="left"/>
      <w:pPr>
        <w:ind w:left="4054" w:hanging="208"/>
      </w:pPr>
      <w:rPr>
        <w:rFonts w:hint="default"/>
        <w:lang w:val="es-ES" w:eastAsia="en-US" w:bidi="ar-SA"/>
      </w:rPr>
    </w:lvl>
    <w:lvl w:ilvl="4" w:tplc="AAE49FF8">
      <w:numFmt w:val="bullet"/>
      <w:lvlText w:val="•"/>
      <w:lvlJc w:val="left"/>
      <w:pPr>
        <w:ind w:left="4919" w:hanging="208"/>
      </w:pPr>
      <w:rPr>
        <w:rFonts w:hint="default"/>
        <w:lang w:val="es-ES" w:eastAsia="en-US" w:bidi="ar-SA"/>
      </w:rPr>
    </w:lvl>
    <w:lvl w:ilvl="5" w:tplc="7CF405A8">
      <w:numFmt w:val="bullet"/>
      <w:lvlText w:val="•"/>
      <w:lvlJc w:val="left"/>
      <w:pPr>
        <w:ind w:left="5783" w:hanging="208"/>
      </w:pPr>
      <w:rPr>
        <w:rFonts w:hint="default"/>
        <w:lang w:val="es-ES" w:eastAsia="en-US" w:bidi="ar-SA"/>
      </w:rPr>
    </w:lvl>
    <w:lvl w:ilvl="6" w:tplc="47DEA44A">
      <w:numFmt w:val="bullet"/>
      <w:lvlText w:val="•"/>
      <w:lvlJc w:val="left"/>
      <w:pPr>
        <w:ind w:left="6648" w:hanging="208"/>
      </w:pPr>
      <w:rPr>
        <w:rFonts w:hint="default"/>
        <w:lang w:val="es-ES" w:eastAsia="en-US" w:bidi="ar-SA"/>
      </w:rPr>
    </w:lvl>
    <w:lvl w:ilvl="7" w:tplc="370E79EA">
      <w:numFmt w:val="bullet"/>
      <w:lvlText w:val="•"/>
      <w:lvlJc w:val="left"/>
      <w:pPr>
        <w:ind w:left="7513" w:hanging="208"/>
      </w:pPr>
      <w:rPr>
        <w:rFonts w:hint="default"/>
        <w:lang w:val="es-ES" w:eastAsia="en-US" w:bidi="ar-SA"/>
      </w:rPr>
    </w:lvl>
    <w:lvl w:ilvl="8" w:tplc="9250B578">
      <w:numFmt w:val="bullet"/>
      <w:lvlText w:val="•"/>
      <w:lvlJc w:val="left"/>
      <w:pPr>
        <w:ind w:left="8378" w:hanging="208"/>
      </w:pPr>
      <w:rPr>
        <w:rFonts w:hint="default"/>
        <w:lang w:val="es-ES" w:eastAsia="en-US" w:bidi="ar-SA"/>
      </w:rPr>
    </w:lvl>
  </w:abstractNum>
  <w:abstractNum w:abstractNumId="2" w15:restartNumberingAfterBreak="0">
    <w:nsid w:val="771002B9"/>
    <w:multiLevelType w:val="hybridMultilevel"/>
    <w:tmpl w:val="6A5A85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316139">
    <w:abstractNumId w:val="1"/>
  </w:num>
  <w:num w:numId="2" w16cid:durableId="219482321">
    <w:abstractNumId w:val="2"/>
  </w:num>
  <w:num w:numId="3" w16cid:durableId="71389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4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3C"/>
    <w:rsid w:val="001C0EC5"/>
    <w:rsid w:val="001D6DF0"/>
    <w:rsid w:val="0037779D"/>
    <w:rsid w:val="00453F28"/>
    <w:rsid w:val="00464BEF"/>
    <w:rsid w:val="004F7F8E"/>
    <w:rsid w:val="005F3D2F"/>
    <w:rsid w:val="006858C5"/>
    <w:rsid w:val="006F0928"/>
    <w:rsid w:val="0091623C"/>
    <w:rsid w:val="00951792"/>
    <w:rsid w:val="009D3BFD"/>
    <w:rsid w:val="00A676D5"/>
    <w:rsid w:val="00CD0ECD"/>
    <w:rsid w:val="00DE4D76"/>
    <w:rsid w:val="00EC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AFB23"/>
  <w15:chartTrackingRefBased/>
  <w15:docId w15:val="{9DD9511D-598D-40C9-A218-43C2066E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rFonts w:eastAsiaTheme="minorEastAsia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pPr>
      <w:spacing w:before="60" w:after="240" w:line="240" w:lineRule="auto"/>
      <w:outlineLvl w:val="0"/>
    </w:pPr>
    <w:rPr>
      <w:rFonts w:ascii="Verdana" w:hAnsi="Verdana" w:cs="Times New Roman"/>
      <w:b/>
      <w:bCs/>
      <w:color w:val="000080"/>
      <w:kern w:val="36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pPr>
      <w:spacing w:before="60" w:after="240" w:line="240" w:lineRule="auto"/>
      <w:outlineLvl w:val="1"/>
    </w:pPr>
    <w:rPr>
      <w:rFonts w:ascii="Verdana" w:hAnsi="Verdana" w:cs="Times New Roman"/>
      <w:b/>
      <w:bCs/>
      <w:color w:val="00008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Pr>
      <w:rFonts w:ascii="Verdana" w:hAnsi="Verdana" w:hint="default"/>
      <w:b/>
      <w:bCs/>
      <w:color w:val="00008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="Verdana" w:hAnsi="Verdana" w:hint="default"/>
      <w:b/>
      <w:bCs/>
      <w:color w:val="00008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DC1">
    <w:name w:val="toc 1"/>
    <w:basedOn w:val="Normal"/>
    <w:autoRedefine/>
    <w:uiPriority w:val="39"/>
    <w:semiHidden/>
    <w:unhideWhenUsed/>
  </w:style>
  <w:style w:type="paragraph" w:styleId="TDC2">
    <w:name w:val="toc 2"/>
    <w:basedOn w:val="Normal"/>
    <w:autoRedefine/>
    <w:uiPriority w:val="39"/>
    <w:semiHidden/>
    <w:unhideWhenUsed/>
    <w:pPr>
      <w:ind w:left="220"/>
    </w:pPr>
  </w:style>
  <w:style w:type="paragraph" w:customStyle="1" w:styleId="TextoPrincipal">
    <w:name w:val="Texto Principal"/>
    <w:basedOn w:val="Normal"/>
    <w:pPr>
      <w:spacing w:before="60" w:after="60" w:line="240" w:lineRule="auto"/>
    </w:pPr>
    <w:rPr>
      <w:rFonts w:ascii="Verdana" w:hAnsi="Verdana" w:cs="Times New Roman"/>
      <w:color w:val="323232"/>
      <w:sz w:val="16"/>
      <w:szCs w:val="16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paragraph" w:customStyle="1" w:styleId="estilotextoprincipalail">
    <w:name w:val="estilotextoprincipalai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ieta2">
    <w:name w:val="vieta2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9D3B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3BFD"/>
    <w:rPr>
      <w:rFonts w:ascii="Arial" w:eastAsia="Arial" w:hAnsi="Arial" w:cs="Arial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1"/>
    <w:qFormat/>
    <w:rsid w:val="009D3BFD"/>
    <w:pPr>
      <w:widowControl w:val="0"/>
      <w:autoSpaceDE w:val="0"/>
      <w:autoSpaceDN w:val="0"/>
      <w:spacing w:after="0" w:line="240" w:lineRule="auto"/>
      <w:ind w:left="1183" w:hanging="708"/>
      <w:jc w:val="both"/>
    </w:pPr>
    <w:rPr>
      <w:rFonts w:ascii="Arial" w:eastAsia="Arial" w:hAnsi="Arial" w:cs="Arial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000080"/>
        <w:right w:val="none" w:sz="0" w:space="0" w:color="auto"/>
      </w:divBdr>
    </w:div>
    <w:div w:id="57528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000080"/>
        <w:right w:val="none" w:sz="0" w:space="0" w:color="auto"/>
      </w:divBdr>
    </w:div>
    <w:div w:id="86383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000080"/>
        <w:right w:val="none" w:sz="0" w:space="0" w:color="auto"/>
      </w:divBdr>
    </w:div>
    <w:div w:id="86448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000080"/>
        <w:right w:val="none" w:sz="0" w:space="0" w:color="auto"/>
      </w:divBdr>
    </w:div>
    <w:div w:id="9757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000080"/>
        <w:right w:val="none" w:sz="0" w:space="0" w:color="auto"/>
      </w:divBdr>
    </w:div>
    <w:div w:id="12106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000080"/>
        <w:right w:val="none" w:sz="0" w:space="0" w:color="auto"/>
      </w:divBdr>
    </w:div>
    <w:div w:id="14776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000080"/>
        <w:right w:val="none" w:sz="0" w:space="0" w:color="auto"/>
      </w:divBdr>
    </w:div>
    <w:div w:id="18082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000080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1504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BNA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Gonzalez Lorenzo</dc:creator>
  <cp:keywords/>
  <dc:description/>
  <cp:lastModifiedBy>Susana Gonzalez Lorenzo</cp:lastModifiedBy>
  <cp:revision>2</cp:revision>
  <dcterms:created xsi:type="dcterms:W3CDTF">2023-11-08T19:40:00Z</dcterms:created>
  <dcterms:modified xsi:type="dcterms:W3CDTF">2023-11-08T19:40:00Z</dcterms:modified>
</cp:coreProperties>
</file>